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F3" w:rsidRDefault="003967F3"/>
    <w:p w:rsidR="00593C15" w:rsidRPr="007A5B66" w:rsidRDefault="00FE0F61" w:rsidP="00E90DC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Perso</w:t>
      </w:r>
      <w:r w:rsidR="00E90DC3" w:rsidRPr="007A5B66">
        <w:rPr>
          <w:b/>
          <w:sz w:val="44"/>
          <w:szCs w:val="44"/>
        </w:rPr>
        <w:t>n</w:t>
      </w:r>
      <w:r>
        <w:rPr>
          <w:b/>
          <w:sz w:val="44"/>
          <w:szCs w:val="44"/>
        </w:rPr>
        <w:t xml:space="preserve">  Specification</w:t>
      </w:r>
      <w:proofErr w:type="gramEnd"/>
      <w:r>
        <w:rPr>
          <w:b/>
          <w:sz w:val="44"/>
          <w:szCs w:val="44"/>
        </w:rPr>
        <w:t xml:space="preserve"> </w:t>
      </w:r>
      <w:r w:rsidR="00E90DC3" w:rsidRPr="007A5B66">
        <w:rPr>
          <w:b/>
          <w:sz w:val="44"/>
          <w:szCs w:val="4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5684"/>
        <w:gridCol w:w="1205"/>
        <w:gridCol w:w="1156"/>
      </w:tblGrid>
      <w:tr w:rsidR="00FE0F61" w:rsidTr="00C17EC3">
        <w:tc>
          <w:tcPr>
            <w:tcW w:w="1809" w:type="dxa"/>
          </w:tcPr>
          <w:p w:rsidR="00FE0F61" w:rsidRPr="00FE0F61" w:rsidRDefault="00FE0F61" w:rsidP="00E9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</w:tcPr>
          <w:p w:rsidR="00FE0F61" w:rsidRDefault="00FE0F61" w:rsidP="00E90DC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5" w:type="dxa"/>
          </w:tcPr>
          <w:p w:rsidR="00FE0F61" w:rsidRPr="00C17EC3" w:rsidRDefault="00FE0F61" w:rsidP="00E90DC3">
            <w:pPr>
              <w:jc w:val="center"/>
              <w:rPr>
                <w:b/>
                <w:szCs w:val="24"/>
              </w:rPr>
            </w:pPr>
            <w:r w:rsidRPr="00C17EC3">
              <w:rPr>
                <w:b/>
                <w:szCs w:val="24"/>
              </w:rPr>
              <w:t xml:space="preserve">Essential </w:t>
            </w:r>
          </w:p>
        </w:tc>
        <w:tc>
          <w:tcPr>
            <w:tcW w:w="1156" w:type="dxa"/>
          </w:tcPr>
          <w:p w:rsidR="00FE0F61" w:rsidRPr="00C17EC3" w:rsidRDefault="00FE0F61" w:rsidP="00E90DC3">
            <w:pPr>
              <w:jc w:val="center"/>
              <w:rPr>
                <w:b/>
                <w:szCs w:val="24"/>
              </w:rPr>
            </w:pPr>
            <w:r w:rsidRPr="00C17EC3">
              <w:rPr>
                <w:b/>
                <w:szCs w:val="24"/>
              </w:rPr>
              <w:t xml:space="preserve">Desirable </w:t>
            </w:r>
          </w:p>
        </w:tc>
      </w:tr>
      <w:tr w:rsidR="006A0495" w:rsidTr="00C17EC3">
        <w:tc>
          <w:tcPr>
            <w:tcW w:w="1809" w:type="dxa"/>
            <w:vMerge w:val="restart"/>
          </w:tcPr>
          <w:p w:rsidR="006A0495" w:rsidRPr="00FE0F61" w:rsidRDefault="006A0495" w:rsidP="00E90DC3">
            <w:pPr>
              <w:jc w:val="center"/>
              <w:rPr>
                <w:b/>
                <w:sz w:val="28"/>
                <w:szCs w:val="28"/>
              </w:rPr>
            </w:pPr>
            <w:r w:rsidRPr="00FE0F61">
              <w:rPr>
                <w:b/>
                <w:sz w:val="28"/>
                <w:szCs w:val="28"/>
              </w:rPr>
              <w:t xml:space="preserve">Qualification </w:t>
            </w:r>
          </w:p>
        </w:tc>
        <w:tc>
          <w:tcPr>
            <w:tcW w:w="5684" w:type="dxa"/>
          </w:tcPr>
          <w:p w:rsidR="006A0495" w:rsidRPr="00406665" w:rsidRDefault="006A0495" w:rsidP="00DD394F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Recognised qualification in youth </w:t>
            </w:r>
            <w:r w:rsidR="00DD394F">
              <w:rPr>
                <w:szCs w:val="24"/>
              </w:rPr>
              <w:t>and community wo</w:t>
            </w:r>
            <w:r w:rsidRPr="00406665">
              <w:rPr>
                <w:szCs w:val="24"/>
              </w:rPr>
              <w:t xml:space="preserve">rk  </w:t>
            </w:r>
          </w:p>
        </w:tc>
        <w:tc>
          <w:tcPr>
            <w:tcW w:w="1205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A0495" w:rsidRDefault="006A0495" w:rsidP="00C1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A0495" w:rsidRDefault="006A0495" w:rsidP="00C17EC3">
            <w:pPr>
              <w:jc w:val="center"/>
              <w:rPr>
                <w:sz w:val="20"/>
                <w:szCs w:val="20"/>
              </w:rPr>
            </w:pPr>
          </w:p>
          <w:p w:rsidR="006A0495" w:rsidRPr="00C17EC3" w:rsidRDefault="006A0495" w:rsidP="00C17EC3">
            <w:pPr>
              <w:jc w:val="center"/>
              <w:rPr>
                <w:sz w:val="20"/>
                <w:szCs w:val="20"/>
              </w:rPr>
            </w:pPr>
          </w:p>
        </w:tc>
      </w:tr>
      <w:tr w:rsidR="006A0495" w:rsidTr="00C17EC3">
        <w:tc>
          <w:tcPr>
            <w:tcW w:w="1809" w:type="dxa"/>
            <w:vMerge/>
          </w:tcPr>
          <w:p w:rsidR="006A0495" w:rsidRPr="00FE0F61" w:rsidRDefault="006A0495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6A0495" w:rsidRPr="00406665" w:rsidRDefault="00D20034" w:rsidP="006A0495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6A0495" w:rsidRPr="00406665">
              <w:rPr>
                <w:szCs w:val="24"/>
              </w:rPr>
              <w:t xml:space="preserve">irst aid certificate </w:t>
            </w:r>
          </w:p>
          <w:p w:rsidR="006A0495" w:rsidRPr="00406665" w:rsidRDefault="006A0495" w:rsidP="006A0495">
            <w:pPr>
              <w:rPr>
                <w:szCs w:val="24"/>
              </w:rPr>
            </w:pPr>
            <w:r w:rsidRPr="00406665">
              <w:rPr>
                <w:szCs w:val="24"/>
              </w:rPr>
              <w:t>Safeguarding awareness</w:t>
            </w:r>
            <w:r w:rsidR="00D20034">
              <w:rPr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6A0495" w:rsidRDefault="006A0495" w:rsidP="00E90DC3">
            <w:pPr>
              <w:jc w:val="center"/>
              <w:rPr>
                <w:sz w:val="20"/>
                <w:szCs w:val="20"/>
              </w:rPr>
            </w:pPr>
          </w:p>
          <w:p w:rsidR="00AC038F" w:rsidRPr="00C17EC3" w:rsidRDefault="00AC038F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6A0495" w:rsidRDefault="006A0495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C038F" w:rsidRDefault="00AC038F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6A0495" w:rsidTr="00C17EC3">
        <w:tc>
          <w:tcPr>
            <w:tcW w:w="1809" w:type="dxa"/>
            <w:vMerge w:val="restart"/>
          </w:tcPr>
          <w:p w:rsidR="006A0495" w:rsidRPr="00FE0F61" w:rsidRDefault="006A0495" w:rsidP="00E90DC3">
            <w:pPr>
              <w:jc w:val="center"/>
              <w:rPr>
                <w:b/>
                <w:sz w:val="28"/>
                <w:szCs w:val="28"/>
              </w:rPr>
            </w:pPr>
            <w:r w:rsidRPr="00FE0F61">
              <w:rPr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5684" w:type="dxa"/>
          </w:tcPr>
          <w:p w:rsidR="006A0495" w:rsidRPr="00406665" w:rsidRDefault="006A0495" w:rsidP="00D20034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Experience of working with young people in </w:t>
            </w:r>
            <w:r w:rsidR="00D20034">
              <w:rPr>
                <w:szCs w:val="24"/>
              </w:rPr>
              <w:t>e</w:t>
            </w:r>
            <w:r w:rsidRPr="00406665">
              <w:rPr>
                <w:szCs w:val="24"/>
              </w:rPr>
              <w:t xml:space="preserve">ducation, health or youth and community settings </w:t>
            </w:r>
          </w:p>
        </w:tc>
        <w:tc>
          <w:tcPr>
            <w:tcW w:w="1205" w:type="dxa"/>
          </w:tcPr>
          <w:p w:rsidR="006A0495" w:rsidRPr="00C17EC3" w:rsidRDefault="00DD394F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6A0495" w:rsidTr="00C17EC3">
        <w:tc>
          <w:tcPr>
            <w:tcW w:w="1809" w:type="dxa"/>
            <w:vMerge/>
          </w:tcPr>
          <w:p w:rsidR="006A0495" w:rsidRPr="00FE0F61" w:rsidRDefault="006A0495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6A0495" w:rsidRPr="00406665" w:rsidRDefault="006A0495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Experience of working with young people at risk of social exclusion. </w:t>
            </w:r>
          </w:p>
        </w:tc>
        <w:tc>
          <w:tcPr>
            <w:tcW w:w="1205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A0495" w:rsidTr="00C17EC3">
        <w:tc>
          <w:tcPr>
            <w:tcW w:w="1809" w:type="dxa"/>
            <w:vMerge/>
          </w:tcPr>
          <w:p w:rsidR="006A0495" w:rsidRDefault="006A0495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6A0495" w:rsidRPr="00406665" w:rsidRDefault="006A0495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>Experience of detached on the streets delivery.</w:t>
            </w:r>
          </w:p>
        </w:tc>
        <w:tc>
          <w:tcPr>
            <w:tcW w:w="1205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A0495" w:rsidTr="00C17EC3">
        <w:tc>
          <w:tcPr>
            <w:tcW w:w="1809" w:type="dxa"/>
            <w:vMerge w:val="restart"/>
          </w:tcPr>
          <w:p w:rsidR="006A0495" w:rsidRPr="00FE0F61" w:rsidRDefault="006A0495" w:rsidP="00E90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Skills and abilities </w:t>
            </w:r>
          </w:p>
        </w:tc>
        <w:tc>
          <w:tcPr>
            <w:tcW w:w="5684" w:type="dxa"/>
          </w:tcPr>
          <w:p w:rsidR="006A0495" w:rsidRPr="00406665" w:rsidRDefault="006A0495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Ability to establish and maintain positive relationships with young people.  </w:t>
            </w:r>
          </w:p>
        </w:tc>
        <w:tc>
          <w:tcPr>
            <w:tcW w:w="1205" w:type="dxa"/>
          </w:tcPr>
          <w:p w:rsidR="006A0495" w:rsidRDefault="006A0495" w:rsidP="00E90DC3">
            <w:pPr>
              <w:jc w:val="center"/>
              <w:rPr>
                <w:sz w:val="20"/>
                <w:szCs w:val="20"/>
              </w:rPr>
            </w:pPr>
          </w:p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6A0495" w:rsidTr="00C17EC3">
        <w:tc>
          <w:tcPr>
            <w:tcW w:w="1809" w:type="dxa"/>
            <w:vMerge/>
          </w:tcPr>
          <w:p w:rsidR="006A0495" w:rsidRPr="00FE0F61" w:rsidRDefault="006A0495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6A0495" w:rsidRPr="00406665" w:rsidRDefault="006A0495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Ability to work with young people individually and in groups </w:t>
            </w:r>
          </w:p>
        </w:tc>
        <w:tc>
          <w:tcPr>
            <w:tcW w:w="1205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6A0495" w:rsidTr="00C17EC3">
        <w:tc>
          <w:tcPr>
            <w:tcW w:w="1809" w:type="dxa"/>
            <w:vMerge/>
          </w:tcPr>
          <w:p w:rsidR="006A0495" w:rsidRPr="00FE0F61" w:rsidRDefault="006A0495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6A0495" w:rsidRPr="00406665" w:rsidRDefault="006A0495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Good interpersonal and communication skills </w:t>
            </w:r>
          </w:p>
        </w:tc>
        <w:tc>
          <w:tcPr>
            <w:tcW w:w="1205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6A0495" w:rsidTr="00C17EC3">
        <w:tc>
          <w:tcPr>
            <w:tcW w:w="1809" w:type="dxa"/>
            <w:vMerge/>
          </w:tcPr>
          <w:p w:rsidR="006A0495" w:rsidRDefault="006A0495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6A0495" w:rsidRPr="00406665" w:rsidRDefault="00DD394F" w:rsidP="00FE0F61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6A0495" w:rsidRPr="00406665">
              <w:rPr>
                <w:szCs w:val="24"/>
              </w:rPr>
              <w:t xml:space="preserve">rganisational skills. </w:t>
            </w:r>
          </w:p>
        </w:tc>
        <w:tc>
          <w:tcPr>
            <w:tcW w:w="1205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6A0495" w:rsidRPr="00C17EC3" w:rsidRDefault="006A0495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D20034" w:rsidTr="00C17EC3">
        <w:tc>
          <w:tcPr>
            <w:tcW w:w="1809" w:type="dxa"/>
          </w:tcPr>
          <w:p w:rsidR="00D20034" w:rsidRDefault="00D20034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D20034" w:rsidRDefault="00D20034" w:rsidP="00FE0F61">
            <w:pPr>
              <w:rPr>
                <w:szCs w:val="24"/>
              </w:rPr>
            </w:pPr>
            <w:r>
              <w:rPr>
                <w:szCs w:val="24"/>
              </w:rPr>
              <w:t>Ability to work as part of a team.</w:t>
            </w:r>
          </w:p>
        </w:tc>
        <w:tc>
          <w:tcPr>
            <w:tcW w:w="1205" w:type="dxa"/>
          </w:tcPr>
          <w:p w:rsidR="00D20034" w:rsidRDefault="00D20034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D20034" w:rsidRPr="00C17EC3" w:rsidRDefault="00D20034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D20034" w:rsidTr="00C17EC3">
        <w:tc>
          <w:tcPr>
            <w:tcW w:w="1809" w:type="dxa"/>
          </w:tcPr>
          <w:p w:rsidR="00D20034" w:rsidRDefault="00D20034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D20034" w:rsidRDefault="00D20034" w:rsidP="00FE0F61">
            <w:pPr>
              <w:rPr>
                <w:szCs w:val="24"/>
              </w:rPr>
            </w:pPr>
            <w:r>
              <w:rPr>
                <w:szCs w:val="24"/>
              </w:rPr>
              <w:t>Ability to work in a professional manner and maintain professional boundaries</w:t>
            </w:r>
          </w:p>
        </w:tc>
        <w:tc>
          <w:tcPr>
            <w:tcW w:w="1205" w:type="dxa"/>
          </w:tcPr>
          <w:p w:rsidR="00D20034" w:rsidRDefault="00D20034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156" w:type="dxa"/>
          </w:tcPr>
          <w:p w:rsidR="00D20034" w:rsidRPr="00C17EC3" w:rsidRDefault="00D20034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C17EC3" w:rsidTr="00C17EC3">
        <w:tc>
          <w:tcPr>
            <w:tcW w:w="1809" w:type="dxa"/>
            <w:vMerge w:val="restart"/>
          </w:tcPr>
          <w:p w:rsidR="00C17EC3" w:rsidRDefault="00C17EC3" w:rsidP="00E90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</w:t>
            </w:r>
          </w:p>
        </w:tc>
        <w:tc>
          <w:tcPr>
            <w:tcW w:w="5684" w:type="dxa"/>
          </w:tcPr>
          <w:p w:rsidR="00C17EC3" w:rsidRPr="00406665" w:rsidRDefault="00C17EC3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A good knowledge and understanding of the needs of young people with the age group 11 to 18 years, in particular those with challenging or difficult behaviour.  </w:t>
            </w:r>
          </w:p>
        </w:tc>
        <w:tc>
          <w:tcPr>
            <w:tcW w:w="1205" w:type="dxa"/>
          </w:tcPr>
          <w:p w:rsidR="00C17EC3" w:rsidRDefault="00C17EC3" w:rsidP="00E90DC3">
            <w:pPr>
              <w:jc w:val="center"/>
              <w:rPr>
                <w:sz w:val="20"/>
                <w:szCs w:val="20"/>
              </w:rPr>
            </w:pPr>
          </w:p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C17EC3" w:rsidTr="00C17EC3">
        <w:tc>
          <w:tcPr>
            <w:tcW w:w="1809" w:type="dxa"/>
            <w:vMerge/>
          </w:tcPr>
          <w:p w:rsidR="00C17EC3" w:rsidRDefault="00C17EC3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C17EC3" w:rsidRPr="00406665" w:rsidRDefault="00C17EC3" w:rsidP="00C17EC3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Experience of educating, informing and raising awareness with young people about issues such as alcohol and drug misuse, sexual health and relationships education.  </w:t>
            </w:r>
          </w:p>
        </w:tc>
        <w:tc>
          <w:tcPr>
            <w:tcW w:w="1205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C17EC3" w:rsidRDefault="00C17EC3" w:rsidP="00E90DC3">
            <w:pPr>
              <w:jc w:val="center"/>
              <w:rPr>
                <w:sz w:val="20"/>
                <w:szCs w:val="20"/>
              </w:rPr>
            </w:pPr>
          </w:p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7EC3" w:rsidTr="00C17EC3">
        <w:tc>
          <w:tcPr>
            <w:tcW w:w="1809" w:type="dxa"/>
            <w:vMerge/>
          </w:tcPr>
          <w:p w:rsidR="00C17EC3" w:rsidRDefault="00C17EC3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C17EC3" w:rsidRPr="00406665" w:rsidRDefault="00C17EC3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Knowledge and understanding of the purpose of detached youth work. </w:t>
            </w:r>
          </w:p>
        </w:tc>
        <w:tc>
          <w:tcPr>
            <w:tcW w:w="1205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7EC3" w:rsidTr="00C17EC3">
        <w:tc>
          <w:tcPr>
            <w:tcW w:w="1809" w:type="dxa"/>
            <w:vMerge w:val="restart"/>
          </w:tcPr>
          <w:p w:rsidR="00C17EC3" w:rsidRPr="00FE0F61" w:rsidRDefault="00C17EC3" w:rsidP="00E90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requirements </w:t>
            </w:r>
          </w:p>
        </w:tc>
        <w:tc>
          <w:tcPr>
            <w:tcW w:w="5684" w:type="dxa"/>
          </w:tcPr>
          <w:p w:rsidR="00C17EC3" w:rsidRPr="00406665" w:rsidRDefault="00C17EC3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A commitment to improving the lives of young people referred to the project.  </w:t>
            </w:r>
          </w:p>
        </w:tc>
        <w:tc>
          <w:tcPr>
            <w:tcW w:w="1205" w:type="dxa"/>
          </w:tcPr>
          <w:p w:rsidR="00C17EC3" w:rsidRPr="00C17EC3" w:rsidRDefault="00AC038F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C17EC3" w:rsidTr="00C17EC3">
        <w:tc>
          <w:tcPr>
            <w:tcW w:w="1809" w:type="dxa"/>
            <w:vMerge/>
          </w:tcPr>
          <w:p w:rsidR="00C17EC3" w:rsidRPr="00FE0F61" w:rsidRDefault="00C17EC3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C17EC3" w:rsidRPr="00406665" w:rsidRDefault="00C17EC3" w:rsidP="00DD394F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Commitment to working outside of normal office hours at weekends, evenings and </w:t>
            </w:r>
            <w:r w:rsidR="00DD394F">
              <w:rPr>
                <w:szCs w:val="24"/>
              </w:rPr>
              <w:t>occasional overnight</w:t>
            </w:r>
            <w:r w:rsidRPr="00406665">
              <w:rPr>
                <w:szCs w:val="24"/>
              </w:rPr>
              <w:t xml:space="preserve"> residential</w:t>
            </w:r>
            <w:r w:rsidR="00862D6A">
              <w:rPr>
                <w:szCs w:val="24"/>
              </w:rPr>
              <w:t>s.</w:t>
            </w:r>
          </w:p>
        </w:tc>
        <w:tc>
          <w:tcPr>
            <w:tcW w:w="1205" w:type="dxa"/>
          </w:tcPr>
          <w:p w:rsidR="00C17EC3" w:rsidRPr="00C17EC3" w:rsidRDefault="00C17EC3" w:rsidP="00C1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C17EC3" w:rsidTr="00C17EC3">
        <w:tc>
          <w:tcPr>
            <w:tcW w:w="1809" w:type="dxa"/>
            <w:vMerge/>
          </w:tcPr>
          <w:p w:rsidR="00C17EC3" w:rsidRPr="00FE0F61" w:rsidRDefault="00C17EC3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C17EC3" w:rsidRPr="00406665" w:rsidRDefault="00C17EC3" w:rsidP="00DD394F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Commitment to work within the principles of the equal opportunities and in an inclusive open and transparent organisational style.  </w:t>
            </w:r>
          </w:p>
        </w:tc>
        <w:tc>
          <w:tcPr>
            <w:tcW w:w="1205" w:type="dxa"/>
          </w:tcPr>
          <w:p w:rsidR="00C17EC3" w:rsidRDefault="00C17EC3" w:rsidP="00E90DC3">
            <w:pPr>
              <w:jc w:val="center"/>
              <w:rPr>
                <w:sz w:val="20"/>
                <w:szCs w:val="20"/>
              </w:rPr>
            </w:pPr>
          </w:p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C17EC3" w:rsidTr="00C17EC3">
        <w:tc>
          <w:tcPr>
            <w:tcW w:w="1809" w:type="dxa"/>
            <w:vMerge/>
          </w:tcPr>
          <w:p w:rsidR="00C17EC3" w:rsidRPr="00FE0F61" w:rsidRDefault="00C17EC3" w:rsidP="00E90D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4" w:type="dxa"/>
          </w:tcPr>
          <w:p w:rsidR="00C17EC3" w:rsidRPr="00406665" w:rsidRDefault="00C17EC3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Work within appropriate child protection guidelines </w:t>
            </w:r>
          </w:p>
        </w:tc>
        <w:tc>
          <w:tcPr>
            <w:tcW w:w="1205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C17EC3" w:rsidTr="00C17EC3">
        <w:tc>
          <w:tcPr>
            <w:tcW w:w="1809" w:type="dxa"/>
            <w:vMerge/>
          </w:tcPr>
          <w:p w:rsidR="00C17EC3" w:rsidRPr="00C17EC3" w:rsidRDefault="00C17EC3" w:rsidP="00E90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C17EC3" w:rsidRPr="00406665" w:rsidRDefault="00C17EC3" w:rsidP="00FE0F61">
            <w:pPr>
              <w:rPr>
                <w:szCs w:val="24"/>
              </w:rPr>
            </w:pPr>
            <w:r w:rsidRPr="00406665">
              <w:rPr>
                <w:szCs w:val="24"/>
              </w:rPr>
              <w:t xml:space="preserve">A commitment to undertake any necessary training.  </w:t>
            </w:r>
          </w:p>
        </w:tc>
        <w:tc>
          <w:tcPr>
            <w:tcW w:w="1205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C17EC3" w:rsidRPr="00C17EC3" w:rsidRDefault="00C17EC3" w:rsidP="00E90DC3">
            <w:pPr>
              <w:jc w:val="center"/>
              <w:rPr>
                <w:sz w:val="20"/>
                <w:szCs w:val="20"/>
              </w:rPr>
            </w:pPr>
          </w:p>
        </w:tc>
      </w:tr>
      <w:tr w:rsidR="00D20034" w:rsidTr="00C17EC3">
        <w:tc>
          <w:tcPr>
            <w:tcW w:w="1809" w:type="dxa"/>
          </w:tcPr>
          <w:p w:rsidR="00D20034" w:rsidRPr="00C17EC3" w:rsidRDefault="00D20034" w:rsidP="00E90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D20034" w:rsidRPr="00406665" w:rsidRDefault="00D20034" w:rsidP="00FE0F61">
            <w:pPr>
              <w:rPr>
                <w:szCs w:val="24"/>
              </w:rPr>
            </w:pPr>
            <w:r>
              <w:rPr>
                <w:szCs w:val="24"/>
              </w:rPr>
              <w:t>Good sense of humour</w:t>
            </w:r>
          </w:p>
        </w:tc>
        <w:tc>
          <w:tcPr>
            <w:tcW w:w="1205" w:type="dxa"/>
          </w:tcPr>
          <w:p w:rsidR="00D20034" w:rsidRDefault="00D20034" w:rsidP="00E9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</w:tcPr>
          <w:p w:rsidR="00D20034" w:rsidRPr="00C17EC3" w:rsidRDefault="00D20034" w:rsidP="00E90D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7EC3" w:rsidRDefault="00C17EC3" w:rsidP="00C17EC3">
      <w:pPr>
        <w:rPr>
          <w:szCs w:val="24"/>
        </w:rPr>
      </w:pPr>
    </w:p>
    <w:p w:rsidR="00E90DC3" w:rsidRPr="00C17EC3" w:rsidRDefault="00C17EC3" w:rsidP="00C17EC3">
      <w:pPr>
        <w:rPr>
          <w:szCs w:val="24"/>
        </w:rPr>
      </w:pPr>
      <w:r>
        <w:rPr>
          <w:szCs w:val="24"/>
        </w:rPr>
        <w:t>NB: This job description identifies the key responsibilities and requirements.  It is not an exhaustive list of task</w:t>
      </w:r>
      <w:r w:rsidR="00DD394F">
        <w:rPr>
          <w:szCs w:val="24"/>
        </w:rPr>
        <w:t>s</w:t>
      </w:r>
      <w:r w:rsidR="00715A38">
        <w:rPr>
          <w:szCs w:val="24"/>
        </w:rPr>
        <w:t xml:space="preserve"> that need to be completed.  Hornsea Town Council</w:t>
      </w:r>
      <w:r>
        <w:rPr>
          <w:szCs w:val="24"/>
        </w:rPr>
        <w:t xml:space="preserve"> reserves the right to amend the job description as the role develops within the organisation.  </w:t>
      </w:r>
    </w:p>
    <w:sectPr w:rsidR="00E90DC3" w:rsidRPr="00C17EC3" w:rsidSect="00662B94">
      <w:type w:val="continuous"/>
      <w:pgSz w:w="11906" w:h="16838" w:code="9"/>
      <w:pgMar w:top="1134" w:right="1134" w:bottom="284" w:left="1134" w:header="567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91" w:rsidRDefault="007F5F91" w:rsidP="00AE22D3">
      <w:pPr>
        <w:spacing w:line="240" w:lineRule="auto"/>
      </w:pPr>
      <w:r>
        <w:separator/>
      </w:r>
    </w:p>
  </w:endnote>
  <w:endnote w:type="continuationSeparator" w:id="0">
    <w:p w:rsidR="007F5F91" w:rsidRDefault="007F5F91" w:rsidP="00AE2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91" w:rsidRDefault="007F5F91" w:rsidP="00AE22D3">
      <w:pPr>
        <w:spacing w:line="240" w:lineRule="auto"/>
      </w:pPr>
      <w:r>
        <w:separator/>
      </w:r>
    </w:p>
  </w:footnote>
  <w:footnote w:type="continuationSeparator" w:id="0">
    <w:p w:rsidR="007F5F91" w:rsidRDefault="007F5F91" w:rsidP="00AE2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650"/>
    <w:multiLevelType w:val="hybridMultilevel"/>
    <w:tmpl w:val="3C7CD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E22D3"/>
    <w:rsid w:val="00027A34"/>
    <w:rsid w:val="0005127C"/>
    <w:rsid w:val="00174C2D"/>
    <w:rsid w:val="001F2520"/>
    <w:rsid w:val="00247419"/>
    <w:rsid w:val="00297DB6"/>
    <w:rsid w:val="002D5981"/>
    <w:rsid w:val="00320BED"/>
    <w:rsid w:val="003275D8"/>
    <w:rsid w:val="00384697"/>
    <w:rsid w:val="003967F3"/>
    <w:rsid w:val="003A773F"/>
    <w:rsid w:val="00406665"/>
    <w:rsid w:val="00495F34"/>
    <w:rsid w:val="004A360D"/>
    <w:rsid w:val="004A78BA"/>
    <w:rsid w:val="00511C3D"/>
    <w:rsid w:val="00565280"/>
    <w:rsid w:val="00593C15"/>
    <w:rsid w:val="00662B94"/>
    <w:rsid w:val="00695BD6"/>
    <w:rsid w:val="006A0495"/>
    <w:rsid w:val="006E74B8"/>
    <w:rsid w:val="00715A38"/>
    <w:rsid w:val="0073442E"/>
    <w:rsid w:val="00783EFE"/>
    <w:rsid w:val="007971CD"/>
    <w:rsid w:val="007A2367"/>
    <w:rsid w:val="007A5B66"/>
    <w:rsid w:val="007F1CB4"/>
    <w:rsid w:val="007F5F91"/>
    <w:rsid w:val="00862D6A"/>
    <w:rsid w:val="00867097"/>
    <w:rsid w:val="008F2758"/>
    <w:rsid w:val="009266BD"/>
    <w:rsid w:val="009630A5"/>
    <w:rsid w:val="00A43CF2"/>
    <w:rsid w:val="00AC038F"/>
    <w:rsid w:val="00AE22D3"/>
    <w:rsid w:val="00AF1133"/>
    <w:rsid w:val="00B064DD"/>
    <w:rsid w:val="00C17EC3"/>
    <w:rsid w:val="00C3760F"/>
    <w:rsid w:val="00C451D2"/>
    <w:rsid w:val="00C828AF"/>
    <w:rsid w:val="00CA5EEC"/>
    <w:rsid w:val="00CB24BE"/>
    <w:rsid w:val="00CF406D"/>
    <w:rsid w:val="00D20034"/>
    <w:rsid w:val="00D840B6"/>
    <w:rsid w:val="00D87882"/>
    <w:rsid w:val="00DA0906"/>
    <w:rsid w:val="00DD394F"/>
    <w:rsid w:val="00E17885"/>
    <w:rsid w:val="00E72067"/>
    <w:rsid w:val="00E90DC3"/>
    <w:rsid w:val="00F501CE"/>
    <w:rsid w:val="00FE0F61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67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D3"/>
  </w:style>
  <w:style w:type="paragraph" w:styleId="Footer">
    <w:name w:val="footer"/>
    <w:basedOn w:val="Normal"/>
    <w:link w:val="FooterChar"/>
    <w:uiPriority w:val="99"/>
    <w:unhideWhenUsed/>
    <w:rsid w:val="00662B94"/>
    <w:pPr>
      <w:tabs>
        <w:tab w:val="center" w:pos="4513"/>
        <w:tab w:val="right" w:pos="9026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62B94"/>
  </w:style>
  <w:style w:type="paragraph" w:styleId="BalloonText">
    <w:name w:val="Balloon Text"/>
    <w:basedOn w:val="Normal"/>
    <w:link w:val="BalloonTextChar"/>
    <w:uiPriority w:val="99"/>
    <w:semiHidden/>
    <w:unhideWhenUsed/>
    <w:rsid w:val="00593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DC3"/>
    <w:pPr>
      <w:ind w:left="720"/>
      <w:contextualSpacing/>
    </w:pPr>
  </w:style>
  <w:style w:type="table" w:styleId="TableGrid">
    <w:name w:val="Table Grid"/>
    <w:basedOn w:val="TableNormal"/>
    <w:uiPriority w:val="59"/>
    <w:rsid w:val="00F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67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D3"/>
  </w:style>
  <w:style w:type="paragraph" w:styleId="Footer">
    <w:name w:val="footer"/>
    <w:basedOn w:val="Normal"/>
    <w:link w:val="FooterChar"/>
    <w:uiPriority w:val="99"/>
    <w:unhideWhenUsed/>
    <w:rsid w:val="00662B94"/>
    <w:pPr>
      <w:tabs>
        <w:tab w:val="center" w:pos="4513"/>
        <w:tab w:val="right" w:pos="9026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62B94"/>
  </w:style>
  <w:style w:type="paragraph" w:styleId="BalloonText">
    <w:name w:val="Balloon Text"/>
    <w:basedOn w:val="Normal"/>
    <w:link w:val="BalloonTextChar"/>
    <w:uiPriority w:val="99"/>
    <w:semiHidden/>
    <w:unhideWhenUsed/>
    <w:rsid w:val="00593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DC3"/>
    <w:pPr>
      <w:ind w:left="720"/>
      <w:contextualSpacing/>
    </w:pPr>
  </w:style>
  <w:style w:type="table" w:styleId="TableGrid">
    <w:name w:val="Table Grid"/>
    <w:basedOn w:val="TableNormal"/>
    <w:uiPriority w:val="59"/>
    <w:rsid w:val="00FE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User</cp:lastModifiedBy>
  <cp:revision>2</cp:revision>
  <cp:lastPrinted>2018-12-17T12:06:00Z</cp:lastPrinted>
  <dcterms:created xsi:type="dcterms:W3CDTF">2022-03-01T11:41:00Z</dcterms:created>
  <dcterms:modified xsi:type="dcterms:W3CDTF">2022-03-01T11:41:00Z</dcterms:modified>
</cp:coreProperties>
</file>